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«Ремстрой»</w:t>
      </w:r>
    </w:p>
    <w:p>
      <w:pPr>
        <w:spacing w:before="0" w:after="120"/>
        <w:jc w:val="both"/>
      </w:pPr>
      <w:r>
        <w:t xml:space="preserve">Форма по ОКУД0301017по ОКПО44328195</w:t>
      </w:r>
    </w:p>
    <w:p>
      <w:pPr>
        <w:spacing w:before="0" w:after="60"/>
        <w:jc w:val="right"/>
      </w:pPr>
      <w:r>
        <w:t xml:space="preserve">УТВЕРЖДЕНО</w:t>
      </w:r>
    </w:p>
    <w:p>
      <w:pPr>
        <w:spacing w:before="0" w:after="60"/>
        <w:jc w:val="right"/>
      </w:pPr>
      <w:r>
        <w:t xml:space="preserve">приказом от 3 сентября 2026 г. № 31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ШТАТНОЕ РАСПИСАНИЕ № 4</w:t>
      </w:r>
    </w:p>
    <w:p>
      <w:pPr>
        <w:spacing w:before="0" w:after="120"/>
        <w:jc w:val="both"/>
      </w:pPr>
      <w:r>
        <w:t xml:space="preserve">составлено 3 сентября 2026 г. · вводится в действие с 1 октября 2026 г.</w:t>
      </w:r>
    </w:p>
    <w:p>
      <w:pPr>
        <w:spacing w:before="0" w:after="120"/>
        <w:jc w:val="both"/>
      </w:pPr>
      <w:r>
        <w:t xml:space="preserve">Штат в количестве 16 единиц с месячным фондом оплаты труда 1 430 500,00 ₽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Структурное подразделение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Код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Должность (специальность, профессия)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Штатных единиц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Оклад, ₽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за стаж, ₽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Всего в месяц, ₽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Примечание</w:t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Администрация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генеральный директор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132 000,00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 по подразделению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312 000,00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Отдел продаж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02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руководитель отдела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121 000,00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менеджер по продажам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3 500,00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294 000,00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менеджер по продажам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3 500,00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73 500,00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вакансия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 по подразделению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488 500,00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Производство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03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мастер участка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монтажник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75 000,00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450 000,00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 по подразделению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630 000,00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16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1 430 500,00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Руководитель кадровой службы, начальник отдела кадровПанкратова И. С.</w:t>
      </w:r>
    </w:p>
    <w:p>
      <w:pPr>
        <w:spacing w:before="0" w:after="120"/>
        <w:jc w:val="both"/>
      </w:pPr>
      <w:r>
        <w:t xml:space="preserve">Главный бухгалтерТимофеева А. Ю.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Штатное расписание: образец и бланк формы Т-3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