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w:body>
    <w:p>
      <w:pPr>
        <w:spacing w:before="0" w:after="120"/>
        <w:jc w:val="both"/>
      </w:pPr>
      <w:r>
        <w:t xml:space="preserve">ДОГОВОР ВОЗМЕЗДНОГО ОКАЗАНИЯ УСЛУГ № 12</w:t>
      </w:r>
    </w:p>
    <w:p>
      <w:pPr>
        <w:spacing w:before="0" w:after="120"/>
        <w:jc w:val="both"/>
      </w:pPr>
      <w:r>
        <w:t xml:space="preserve">с исполнителем, применяющим налог на профессиональный доход</w:t>
      </w:r>
    </w:p>
    <w:p>
      <w:pPr>
        <w:spacing w:before="0" w:after="120"/>
        <w:jc w:val="both"/>
      </w:pPr>
      <w:r>
        <w:t xml:space="preserve">г. Самара3 сентября 2026 г.</w:t>
      </w:r>
    </w:p>
    <w:p>
      <w:pPr>
        <w:spacing w:before="0" w:after="120"/>
        <w:jc w:val="both"/>
      </w:pPr>
      <w:r>
        <w:t xml:space="preserve">ООО «Вектор Медиа», в лице генерального директора Громова Сергея Ильича, действующего на основании Устава, далее — «Заказчик», с одной стороны, и Кузнецова Анна Владимировна, применяющая специальный налоговый режим «Налог на профессиональный доход» (ИНН 631249453768), далее — «Исполнитель», с другой стороны, совместно именуемые «Стороны», заключили настоящий договор (далее — Договор) о нижеследующем:</w:t>
      </w:r>
    </w:p>
    <w:p>
      <w:pPr>
        <w:spacing w:before="0" w:after="120"/>
        <w:jc w:val="both"/>
      </w:pPr>
      <w:r>
        <w:t xml:space="preserve">1. Предмет договора</w:t>
      </w:r>
    </w:p>
    <w:p>
      <w:pPr>
        <w:spacing w:before="0" w:after="120"/>
        <w:jc w:val="both"/>
      </w:pPr>
      <w:r>
        <w:t xml:space="preserve">1.1.Исполнитель обязуется по заданию Заказчика оказать услуги: разработка дизайна главной страницы и трёх внутренних страниц сайта vektor-media.ru: макеты для десктопа и мобильных устройств, два раунда правок. Заказчик обязуется принять услуги и оплатить их в порядке и на условиях Договора.</w:t>
      </w:r>
    </w:p>
    <w:p>
      <w:pPr>
        <w:spacing w:before="0" w:after="120"/>
        <w:jc w:val="both"/>
      </w:pPr>
      <w:r>
        <w:t xml:space="preserve">1.2.По итогам оказания услуг Исполнитель передаёт Заказчику: макеты в формате Figma, экспорт экранов в PNG, руководство по стилю на 3–5 страниц.</w:t>
      </w:r>
    </w:p>
    <w:p>
      <w:pPr>
        <w:spacing w:before="0" w:after="120"/>
        <w:jc w:val="both"/>
      </w:pPr>
      <w:r>
        <w:t xml:space="preserve">1.3.Исполнитель оказывает услуги лично, своими силами и средствами, самостоятельно определяя способы, место и время исполнения задания. Заказчик не даёт Исполнителю указаний о режиме работы и не предоставляет ему рабочее место.</w:t>
      </w:r>
    </w:p>
    <w:p>
      <w:pPr>
        <w:spacing w:before="0" w:after="120"/>
        <w:jc w:val="both"/>
      </w:pPr>
      <w:r>
        <w:t xml:space="preserve">1.4.Исполнитель не вправе привлекать для исполнения Договора работников по трудовым договорам (пункт 4 части 2 статьи 4 Федерального закона от 27.11.2018 № 422-ФЗ); привлечение соисполнителей допускается с письменного согласия Заказчика.</w:t>
      </w:r>
    </w:p>
    <w:p>
      <w:pPr>
        <w:spacing w:before="0" w:after="120"/>
        <w:jc w:val="both"/>
      </w:pPr>
      <w:r>
        <w:t xml:space="preserve">2. Порядок оказания услуг и приёмки</w:t>
      </w:r>
    </w:p>
    <w:p>
      <w:pPr>
        <w:spacing w:before="0" w:after="120"/>
        <w:jc w:val="both"/>
      </w:pPr>
      <w:r>
        <w:t xml:space="preserve">2.1.Услуги оказываются в течение 20 календарных дней с даты подписания Договора. Исполнитель вправе исполнить обязательства досрочно.</w:t>
      </w:r>
    </w:p>
    <w:p>
      <w:pPr>
        <w:spacing w:before="0" w:after="120"/>
        <w:jc w:val="both"/>
      </w:pPr>
      <w:r>
        <w:t xml:space="preserve">2.2.По завершении оказания услуг Исполнитель направляет Заказчику акт об оказании услуг (далее — Акт) в электронном виде в порядке, предусмотренном Договором для электронного документооборота.</w:t>
      </w:r>
    </w:p>
    <w:p>
      <w:pPr>
        <w:spacing w:before="0" w:after="120"/>
        <w:jc w:val="both"/>
      </w:pPr>
      <w:r>
        <w:t xml:space="preserve">2.3.Заказчик в течение 5 рабочих дней с даты получения Акта подписывает его либо направляет Исполнителю мотивированный отказ с перечнем недостатков и сроком их устранения.</w:t>
      </w:r>
    </w:p>
    <w:p>
      <w:pPr>
        <w:spacing w:before="0" w:after="120"/>
        <w:jc w:val="both"/>
      </w:pPr>
      <w:r>
        <w:t xml:space="preserve">2.4.Если в указанный срок Заказчик не подписал Акт и не направил мотивированный отказ, услуги считаются оказанными надлежащим образом и принятыми Заказчиком в полном объёме, а Акт считается подписанным Сторонами.</w:t>
      </w:r>
    </w:p>
    <w:p>
      <w:pPr>
        <w:spacing w:before="0" w:after="120"/>
        <w:jc w:val="both"/>
      </w:pPr>
      <w:r>
        <w:t xml:space="preserve">2.5.Недостатки, возникшие по вине Исполнителя, устраняются им без дополнительной оплаты в срок, согласованный Сторонами в мотивированном отказе.</w:t>
      </w:r>
    </w:p>
    <w:p>
      <w:pPr>
        <w:spacing w:before="0" w:after="120"/>
        <w:jc w:val="both"/>
      </w:pPr>
      <w:r>
        <w:t xml:space="preserve">3. Цена и порядок расчётов</w:t>
      </w:r>
    </w:p>
    <w:p>
      <w:pPr>
        <w:spacing w:before="0" w:after="120"/>
        <w:jc w:val="both"/>
      </w:pPr>
      <w:r>
        <w:t xml:space="preserve">3.1.Цена услуг составляет 60 000,00 ₽ (шестьдесят тысяч рублей 00 копеек).</w:t>
      </w:r>
    </w:p>
    <w:p>
      <w:pPr>
        <w:spacing w:before="0" w:after="120"/>
        <w:jc w:val="both"/>
      </w:pPr>
      <w:r>
        <w:t xml:space="preserve">3.2.Заказчик оплачивает услуги в течение 5 рабочих дней с даты подписания Акта.</w:t>
      </w:r>
    </w:p>
    <w:p>
      <w:pPr>
        <w:spacing w:before="0" w:after="120"/>
        <w:jc w:val="both"/>
      </w:pPr>
      <w:r>
        <w:t xml:space="preserve">3.3.Оплата производится безналичным переводом на банковский счёт Исполнителя, указанный в реквизитах Договора; обязательство по оплате считается исполненным с даты зачисления средств на счёт Исполнителя.</w:t>
      </w:r>
    </w:p>
    <w:p>
      <w:pPr>
        <w:spacing w:before="0" w:after="120"/>
        <w:jc w:val="both"/>
      </w:pPr>
      <w:r>
        <w:t xml:space="preserve">3.4.При каждом расчёте Исполнитель формирует чек в приложении «Мой налог» с указанием наименования услуг и ИНН Заказчика и передаёт его Заказчику не позднее 9-го числа месяца, следующего за месяцем оплаты (часть 3 статьи 14 Федерального закона от 27.11.2018 № 422-ФЗ); при оплате 03.10.2026 чек передаётся не позднее 09.11.2026. Чек подтверждает расходы Заказчика.</w:t>
      </w:r>
    </w:p>
    <w:p>
      <w:pPr>
        <w:spacing w:before="0" w:after="120"/>
        <w:jc w:val="both"/>
      </w:pPr>
      <w:r>
        <w:t xml:space="preserve">3.5.Налог на профессиональный доход с полученного вознаграждения Исполнитель исчисляет и уплачивает самостоятельно; Заказчик не является налоговым агентом (часть 8 статьи 2 Федерального закона от 27.11.2018 № 422-ФЗ) и не начисляет страховые взносы на выплаты, подтверждённые чеком (часть 1 статьи 15 Федерального закона от 27.11.2018 № 422-ФЗ).</w:t>
      </w:r>
    </w:p>
    <w:p>
      <w:pPr>
        <w:spacing w:before="0" w:after="120"/>
        <w:jc w:val="both"/>
      </w:pPr>
      <w:r>
        <w:t xml:space="preserve">3.6.Цена включает все расходы Исполнителя, связанные с исполнением Договора, и вознаграждение за отчуждение исключительных прав на результаты.</w:t>
      </w:r>
    </w:p>
    <w:p>
      <w:pPr>
        <w:spacing w:before="0" w:after="120"/>
        <w:jc w:val="both"/>
      </w:pPr>
      <w:r>
        <w:t xml:space="preserve">4. Налоги и статус Исполнителя</w:t>
      </w:r>
    </w:p>
    <w:p>
      <w:pPr>
        <w:spacing w:before="0" w:after="120"/>
        <w:jc w:val="both"/>
      </w:pPr>
      <w:r>
        <w:t xml:space="preserve">4.1.Исполнитель заверяет, что на дату заключения Договора зарегистрирован в качестве налогоплательщика налога на профессиональный доход и не имеет ограничений на применение этого режима, в том числе не состоял с Заказчиком в трудовых отношениях в течение последних двух лет (пункт 8 части 2 статьи 6 Федерального закона от 27.11.2018 № 422-ФЗ).</w:t>
      </w:r>
    </w:p>
    <w:p>
      <w:pPr>
        <w:spacing w:before="0" w:after="120"/>
        <w:jc w:val="both"/>
      </w:pPr>
      <w:r>
        <w:t xml:space="preserve">4.2.Заказчик вправе проверять статус Исполнителя в сервисе ФНС России «Проверка статуса налогоплательщика налога на профессиональный доход» на дату каждого платежа.</w:t>
      </w:r>
    </w:p>
    <w:p>
      <w:pPr>
        <w:spacing w:before="0" w:after="120"/>
        <w:jc w:val="both"/>
      </w:pPr>
      <w:r>
        <w:t xml:space="preserve">4.3.Исполнитель обязуется передавать Заказчику чек по каждому платежу в сроки, установленные разделом 3 Договора.</w:t>
      </w:r>
    </w:p>
    <w:p>
      <w:pPr>
        <w:spacing w:before="0" w:after="120"/>
        <w:jc w:val="both"/>
      </w:pPr>
      <w:r>
        <w:t xml:space="preserve">4.4.Об утрате статуса налогоплательщика налога на профессиональный доход, в том числе при превышении предельного дохода 2,4 млн рублей за календарный год (пункт 8 части 2 статьи 4 Федерального закона от 27.11.2018 № 422-ФЗ), Исполнитель уведомляет Заказчика в письменной форме в течение 3 рабочих дней со дня утраты статуса.</w:t>
      </w:r>
    </w:p>
    <w:p>
      <w:pPr>
        <w:spacing w:before="0" w:after="120"/>
        <w:jc w:val="both"/>
      </w:pPr>
      <w:r>
        <w:t xml:space="preserve">4.5.Если вследствие непередачи чека, неуведомления об утрате статуса или недостоверности заверений Исполнителя Заказчику будут начислены налог на доходы физических лиц, страховые взносы, пени или штрафы, Исполнитель возмещает Заказчику эти суммы в полном объёме в течение 10 рабочих дней с даты получения требования.</w:t>
      </w:r>
    </w:p>
    <w:p>
      <w:pPr>
        <w:spacing w:before="0" w:after="120"/>
        <w:jc w:val="both"/>
      </w:pPr>
      <w:r>
        <w:t xml:space="preserve">4.6.За непередачу чека в установленный срок, а равно за неуведомление об утрате статуса Исполнитель уплачивает Заказчику штраф в размере 30 % от суммы платежа, по которому допущено нарушение.</w:t>
      </w:r>
    </w:p>
    <w:p>
      <w:pPr>
        <w:spacing w:before="0" w:after="120"/>
        <w:jc w:val="both"/>
      </w:pPr>
      <w:r>
        <w:t xml:space="preserve">5. Права на результат</w:t>
      </w:r>
    </w:p>
    <w:p>
      <w:pPr>
        <w:spacing w:before="0" w:after="120"/>
        <w:jc w:val="both"/>
      </w:pPr>
      <w:r>
        <w:t xml:space="preserve">5.1.Исключительные права на результаты интеллектуальной деятельности, созданные Исполнителем при исполнении Договора, переходят к Заказчику в полном объёме с момента подписания Акта. Вознаграждение за отчуждение исключительных прав включено в цену Договора.</w:t>
      </w:r>
    </w:p>
    <w:p>
      <w:pPr>
        <w:spacing w:before="0" w:after="120"/>
        <w:jc w:val="both"/>
      </w:pPr>
      <w:r>
        <w:t xml:space="preserve">5.2.Исполнитель гарантирует, что результаты созданы его творческим трудом и не нарушают прав третьих лиц; претензии третьих лиц, связанные с нарушением их прав, Исполнитель урегулирует своими силами и за свой счёт.</w:t>
      </w:r>
    </w:p>
    <w:p>
      <w:pPr>
        <w:spacing w:before="0" w:after="120"/>
        <w:jc w:val="both"/>
      </w:pPr>
      <w:r>
        <w:t xml:space="preserve">5.3.Заказчик вправе использовать результаты любым способом и в любой форме без ограничения территории и срока, вносить в них изменения и передавать права третьим лицам.</w:t>
      </w:r>
    </w:p>
    <w:p>
      <w:pPr>
        <w:spacing w:before="0" w:after="120"/>
        <w:jc w:val="both"/>
      </w:pPr>
      <w:r>
        <w:t xml:space="preserve">6. Ответственность сторон</w:t>
      </w:r>
    </w:p>
    <w:p>
      <w:pPr>
        <w:spacing w:before="0" w:after="120"/>
        <w:jc w:val="both"/>
      </w:pPr>
      <w:r>
        <w:t xml:space="preserve">6.1.За нарушение срока оплаты Заказчик уплачивает Исполнителю неустойку в размере 0,1 % от неоплаченной суммы за каждый день просрочки, но не более 10 % от этой суммы. За нарушение срока оказания услуг Исполнитель уплачивает Заказчику неустойку в размере 0,1 % от цены Договора за каждый день просрочки, но не более 10 % от цены Договора (статья 330 Гражданского кодекса Российской Федерации).</w:t>
      </w:r>
    </w:p>
    <w:p>
      <w:pPr>
        <w:spacing w:before="0" w:after="120"/>
        <w:jc w:val="both"/>
      </w:pPr>
      <w:r>
        <w:t xml:space="preserve">6.2.Уплата неустойки не освобождает Стороны от исполнения обязательств по Договору.</w:t>
      </w:r>
    </w:p>
    <w:p>
      <w:pPr>
        <w:spacing w:before="0" w:after="120"/>
        <w:jc w:val="both"/>
      </w:pPr>
      <w:r>
        <w:t xml:space="preserve">6.3.Исполнитель отвечает за качество услуг и достоверность сведений, указанных в Акте и отчётах.</w:t>
      </w:r>
    </w:p>
    <w:p>
      <w:pPr>
        <w:spacing w:before="0" w:after="120"/>
        <w:jc w:val="both"/>
      </w:pPr>
      <w:r>
        <w:t xml:space="preserve">6.4.Во всём остальном Стороны несут ответственность в соответствии с законодательством Российской Федерации.</w:t>
      </w:r>
    </w:p>
    <w:p>
      <w:pPr>
        <w:spacing w:before="0" w:after="120"/>
        <w:jc w:val="both"/>
      </w:pPr>
      <w:r>
        <w:t xml:space="preserve">7. Срок действия и расторжение</w:t>
      </w:r>
    </w:p>
    <w:p>
      <w:pPr>
        <w:spacing w:before="0" w:after="120"/>
        <w:jc w:val="both"/>
      </w:pPr>
      <w:r>
        <w:t xml:space="preserve">7.1.Договор вступает в силу с даты его подписания Сторонами и действует до полного исполнения ими обязательств.</w:t>
      </w:r>
    </w:p>
    <w:p>
      <w:pPr>
        <w:spacing w:before="0" w:after="120"/>
        <w:jc w:val="both"/>
      </w:pPr>
      <w:r>
        <w:t xml:space="preserve">7.2.Заказчик вправе отказаться от исполнения Договора при условии оплаты Исполнителю фактически понесённых им расходов. Исполнитель вправе отказаться от исполнения Договора при условии полного возмещения Заказчику убытков (статья 782 Гражданского кодекса Российской Федерации).</w:t>
      </w:r>
    </w:p>
    <w:p>
      <w:pPr>
        <w:spacing w:before="0" w:after="120"/>
        <w:jc w:val="both"/>
      </w:pPr>
      <w:r>
        <w:t xml:space="preserve">7.3.Об отказе от Договора Сторона уведомляет другую Сторону в письменной форме не менее чем за 5 календарных дней до даты прекращения.</w:t>
      </w:r>
    </w:p>
    <w:p>
      <w:pPr>
        <w:spacing w:before="0" w:after="120"/>
        <w:jc w:val="both"/>
      </w:pPr>
      <w:r>
        <w:t xml:space="preserve">7.4.Утрата Исполнителем статуса налогоплательщика налога на профессиональный доход не прекращает Договор. С даты утраты статуса Заказчик удерживает из вознаграждения налог на доходы физических лиц и начисляет страховые взносы в порядке, установленном Налоговым кодексом Российской Федерации, а также вправе отказаться от Договора без возмещения убытков Исполнителю.</w:t>
      </w:r>
    </w:p>
    <w:p>
      <w:pPr>
        <w:spacing w:before="0" w:after="120"/>
        <w:jc w:val="both"/>
      </w:pPr>
      <w:r>
        <w:t xml:space="preserve">8. Разрешение споров</w:t>
      </w:r>
    </w:p>
    <w:p>
      <w:pPr>
        <w:spacing w:before="0" w:after="120"/>
        <w:jc w:val="both"/>
      </w:pPr>
      <w:r>
        <w:t xml:space="preserve">8.1.Споры разрешаются путём переговоров. Претензионный порядок обязателен: срок ответа на претензию — 10 календарных дней с даты её получения.</w:t>
      </w:r>
    </w:p>
    <w:p>
      <w:pPr>
        <w:spacing w:before="0" w:after="120"/>
        <w:jc w:val="both"/>
      </w:pPr>
      <w:r>
        <w:t xml:space="preserve">8.2.Неурегулированные споры передаются в суд по месту нахождения (жительства) ответчика.</w:t>
      </w:r>
    </w:p>
    <w:p>
      <w:pPr>
        <w:spacing w:before="0" w:after="120"/>
        <w:jc w:val="both"/>
      </w:pPr>
      <w:r>
        <w:t xml:space="preserve">9. Заключительные положения</w:t>
      </w:r>
    </w:p>
    <w:p>
      <w:pPr>
        <w:spacing w:before="0" w:after="120"/>
        <w:jc w:val="both"/>
      </w:pPr>
      <w:r>
        <w:t xml:space="preserve">9.1.Все изменения и дополнения к Договору действительны, если совершены в письменной форме и подписаны обеими Сторонами.</w:t>
      </w:r>
    </w:p>
    <w:p>
      <w:pPr>
        <w:spacing w:before="0" w:after="120"/>
        <w:jc w:val="both"/>
      </w:pPr>
      <w:r>
        <w:t xml:space="preserve">9.2.Договор составлен в двух экземплярах, имеющих равную юридическую силу, по одному для каждой из Сторон.</w:t>
      </w:r>
    </w:p>
    <w:p>
      <w:pPr>
        <w:spacing w:before="0" w:after="120"/>
        <w:jc w:val="both"/>
      </w:pPr>
      <w:r>
        <w:t xml:space="preserve">9.3.Стороны признают юридическую силу документов (Договора, Акта, отчётов, уведомлений и чеков), которыми они обмениваются в электронном виде по адресам электронной почты, письменно согласованным Сторонами, а также документов, подписанных усиленной квалифицированной электронной подписью. По требованию любой из Сторон оригиналы на бумажном носителе направляются в течение 10 рабочих дней.</w:t>
      </w:r>
    </w:p>
    <w:p>
      <w:pPr>
        <w:spacing w:before="0" w:after="120"/>
        <w:jc w:val="both"/>
      </w:pPr>
      <w:r>
        <w:t xml:space="preserve">9.4.Во всём, что не урегулировано Договором, Стороны руководствуются законодательством Российской Федерации.</w:t>
      </w:r>
    </w:p>
    <w:p>
      <w:pPr>
        <w:spacing w:before="0" w:after="120"/>
        <w:jc w:val="both"/>
      </w:pPr>
      <w:r>
        <w:rPr>
          <w:b/>
        </w:rPr>
        <w:t xml:space="preserve">10. Реквизиты и подписи сторон</w:t>
      </w:r>
    </w:p>
    <w:tbl>
      <w:tblPr>
        <w:tblW w:w="5000" w:type="pct"/>
        <w:tblBorders>
          <w:top w:val="single" w:sz="4"/>
          <w:left w:val="single" w:sz="4"/>
          <w:bottom w:val="single" w:sz="4"/>
          <w:right w:val="single" w:sz="4"/>
          <w:insideH w:val="single" w:sz="4"/>
          <w:insideV w:val="single" w:sz="4"/>
        </w:tblBorders>
      </w:tblPr>
      <w:tr>
        <w:tc>
          <w:tcPr>
            <w:tcW w:w="50.0" w:type="pct"/>
          </w:tcPr>
          <w:p>
            <w:pPr>
              <w:spacing w:before="0" w:after="0"/>
              <w:jc w:val="left"/>
              <w:rPr>
                <w:sz w:val="20"/>
              </w:rPr>
            </w:pPr>
            <w:r>
              <w:rPr>
                <w:sz w:val="20"/>
                <w:szCs w:val="20"/>
              </w:rPr>
              <w:rPr>
                <w:b/>
              </w:rPr>
              <w:t xml:space="preserve">Заказчик</w:t>
            </w:r>
          </w:p>
        </w:tc>
        <w:tc>
          <w:tcPr>
            <w:tcW w:w="50.0" w:type="pct"/>
          </w:tcPr>
          <w:p>
            <w:pPr>
              <w:spacing w:before="0" w:after="0"/>
              <w:jc w:val="left"/>
              <w:rPr>
                <w:sz w:val="20"/>
              </w:rPr>
            </w:pPr>
            <w:r>
              <w:rPr>
                <w:sz w:val="20"/>
                <w:szCs w:val="20"/>
              </w:rPr>
              <w:rPr>
                <w:b/>
              </w:rPr>
              <w:t xml:space="preserve">Исполнитель</w:t>
            </w:r>
          </w:p>
        </w:tc>
      </w:tr>
      <w:tr>
        <w:tc>
          <w:tcPr>
            <w:tcW w:w="50.0" w:type="pct"/>
          </w:tcPr>
          <w:p>
            <w:pPr>
              <w:spacing w:before="0" w:after="0"/>
              <w:jc w:val="left"/>
              <w:rPr>
                <w:sz w:val="20"/>
              </w:rPr>
            </w:pPr>
            <w:r>
              <w:rPr>
                <w:sz w:val="20"/>
                <w:szCs w:val="20"/>
              </w:rPr>
              <w:t xml:space="preserve">ООО «Вектор Медиа»</w:t>
            </w:r>
          </w:p>
        </w:tc>
        <w:tc>
          <w:tcPr>
            <w:tcW w:w="50.0" w:type="pct"/>
          </w:tcPr>
          <w:p>
            <w:pPr>
              <w:spacing w:before="0" w:after="0"/>
              <w:jc w:val="left"/>
              <w:rPr>
                <w:sz w:val="20"/>
              </w:rPr>
            </w:pPr>
            <w:r>
              <w:rPr>
                <w:sz w:val="20"/>
                <w:szCs w:val="20"/>
              </w:rPr>
              <w:t xml:space="preserve">Кузнецова Анна Владимировна</w:t>
            </w:r>
          </w:p>
        </w:tc>
      </w:tr>
      <w:tr>
        <w:tc>
          <w:tcPr>
            <w:tcW w:w="50.0" w:type="pct"/>
          </w:tcPr>
          <w:p>
            <w:pPr>
              <w:spacing w:before="0" w:after="0"/>
              <w:jc w:val="left"/>
              <w:rPr>
                <w:sz w:val="20"/>
              </w:rPr>
            </w:pPr>
            <w:r>
              <w:rPr>
                <w:sz w:val="20"/>
                <w:szCs w:val="20"/>
              </w:rPr>
              <w:t xml:space="preserve">ИНН 6316522614, КПП 631601001</w:t>
            </w:r>
          </w:p>
        </w:tc>
        <w:tc>
          <w:tcPr>
            <w:tcW w:w="50.0" w:type="pct"/>
          </w:tcPr>
          <w:p>
            <w:pPr>
              <w:spacing w:before="0" w:after="0"/>
              <w:jc w:val="left"/>
              <w:rPr>
                <w:sz w:val="20"/>
              </w:rPr>
            </w:pPr>
            <w:r>
              <w:rPr>
                <w:sz w:val="20"/>
                <w:szCs w:val="20"/>
              </w:rPr>
              <w:t xml:space="preserve">Плательщик налога на профессиональный доход</w:t>
            </w:r>
          </w:p>
        </w:tc>
      </w:tr>
      <w:tr>
        <w:tc>
          <w:tcPr>
            <w:tcW w:w="50.0" w:type="pct"/>
          </w:tcPr>
          <w:p>
            <w:pPr>
              <w:spacing w:before="0" w:after="0"/>
              <w:jc w:val="left"/>
              <w:rPr>
                <w:sz w:val="20"/>
              </w:rPr>
            </w:pPr>
            <w:r>
              <w:rPr>
                <w:sz w:val="20"/>
                <w:szCs w:val="20"/>
              </w:rPr>
              <w:t xml:space="preserve">ОГРН 1156313180484</w:t>
            </w:r>
          </w:p>
        </w:tc>
        <w:tc>
          <w:tcPr>
            <w:tcW w:w="50.0" w:type="pct"/>
          </w:tcPr>
          <w:p>
            <w:pPr>
              <w:spacing w:before="0" w:after="0"/>
              <w:jc w:val="left"/>
              <w:rPr>
                <w:sz w:val="20"/>
              </w:rPr>
            </w:pPr>
            <w:r>
              <w:rPr>
                <w:sz w:val="20"/>
                <w:szCs w:val="20"/>
              </w:rPr>
              <w:t xml:space="preserve">ИНН 631249453768</w:t>
            </w:r>
          </w:p>
        </w:tc>
      </w:tr>
      <w:tr>
        <w:tc>
          <w:tcPr>
            <w:tcW w:w="50.0" w:type="pct"/>
          </w:tcPr>
          <w:p>
            <w:pPr>
              <w:spacing w:before="0" w:after="0"/>
              <w:jc w:val="left"/>
              <w:rPr>
                <w:sz w:val="20"/>
              </w:rPr>
            </w:pPr>
            <w:r>
              <w:rPr>
                <w:sz w:val="20"/>
                <w:szCs w:val="20"/>
              </w:rPr>
              <w:t xml:space="preserve">Адрес: 443001, г. Самара, ул. Молодогвардейская, д. 204, офис 7</w:t>
            </w:r>
          </w:p>
        </w:tc>
        <w:tc>
          <w:tcPr>
            <w:tcW w:w="50.0" w:type="pct"/>
          </w:tcPr>
          <w:p>
            <w:pPr>
              <w:spacing w:before="0" w:after="0"/>
              <w:jc w:val="left"/>
              <w:rPr>
                <w:sz w:val="20"/>
              </w:rPr>
            </w:pPr>
            <w:r>
              <w:rPr>
                <w:sz w:val="20"/>
                <w:szCs w:val="20"/>
              </w:rPr>
              <w:t xml:space="preserve">Паспорт 36 14 771205, выдан отделом УФМС России по Самарской области в Ленинском районе г. Самары 20.12.2014</w:t>
            </w:r>
          </w:p>
        </w:tc>
      </w:tr>
      <w:tr>
        <w:tc>
          <w:tcPr>
            <w:tcW w:w="50.0" w:type="pct"/>
          </w:tcPr>
          <w:p>
            <w:pPr>
              <w:spacing w:before="0" w:after="0"/>
              <w:jc w:val="left"/>
              <w:rPr>
                <w:sz w:val="20"/>
              </w:rPr>
            </w:pPr>
            <w:r>
              <w:rPr>
                <w:sz w:val="20"/>
                <w:szCs w:val="20"/>
              </w:rPr>
              <w:t xml:space="preserve"/>
            </w:r>
          </w:p>
        </w:tc>
        <w:tc>
          <w:tcPr>
            <w:tcW w:w="50.0" w:type="pct"/>
          </w:tcPr>
          <w:p>
            <w:pPr>
              <w:spacing w:before="0" w:after="0"/>
              <w:jc w:val="left"/>
              <w:rPr>
                <w:sz w:val="20"/>
              </w:rPr>
            </w:pPr>
            <w:r>
              <w:rPr>
                <w:sz w:val="20"/>
                <w:szCs w:val="20"/>
              </w:rPr>
              <w:t xml:space="preserve">Адрес: 443110, г. Самара, ул. Осипенко, д. 3, кв. 88</w:t>
            </w:r>
          </w:p>
        </w:tc>
      </w:tr>
      <w:tr>
        <w:tc>
          <w:tcPr>
            <w:tcW w:w="50.0" w:type="pct"/>
          </w:tcPr>
          <w:p>
            <w:pPr>
              <w:spacing w:before="0" w:after="0"/>
              <w:jc w:val="left"/>
              <w:rPr>
                <w:sz w:val="20"/>
              </w:rPr>
            </w:pPr>
            <w:r>
              <w:rPr>
                <w:sz w:val="20"/>
                <w:szCs w:val="20"/>
              </w:rPr>
              <w:t xml:space="preserve"/>
            </w:r>
          </w:p>
        </w:tc>
        <w:tc>
          <w:tcPr>
            <w:tcW w:w="50.0" w:type="pct"/>
          </w:tcPr>
          <w:p>
            <w:pPr>
              <w:spacing w:before="0" w:after="0"/>
              <w:jc w:val="left"/>
              <w:rPr>
                <w:sz w:val="20"/>
              </w:rPr>
            </w:pPr>
            <w:r>
              <w:rPr>
                <w:sz w:val="20"/>
                <w:szCs w:val="20"/>
              </w:rPr>
              <w:t xml:space="preserve">АО «Самарский расчётный банк»</w:t>
            </w:r>
          </w:p>
        </w:tc>
      </w:tr>
      <w:tr>
        <w:tc>
          <w:tcPr>
            <w:tcW w:w="50.0" w:type="pct"/>
          </w:tcPr>
          <w:p>
            <w:pPr>
              <w:spacing w:before="0" w:after="0"/>
              <w:jc w:val="left"/>
              <w:rPr>
                <w:sz w:val="20"/>
              </w:rPr>
            </w:pPr>
            <w:r>
              <w:rPr>
                <w:sz w:val="20"/>
                <w:szCs w:val="20"/>
              </w:rPr>
              <w:t xml:space="preserve"/>
            </w:r>
          </w:p>
        </w:tc>
        <w:tc>
          <w:tcPr>
            <w:tcW w:w="50.0" w:type="pct"/>
          </w:tcPr>
          <w:p>
            <w:pPr>
              <w:spacing w:before="0" w:after="0"/>
              <w:jc w:val="left"/>
              <w:rPr>
                <w:sz w:val="20"/>
              </w:rPr>
            </w:pPr>
            <w:r>
              <w:rPr>
                <w:sz w:val="20"/>
                <w:szCs w:val="20"/>
              </w:rPr>
              <w:t xml:space="preserve">БИК 043601999</w:t>
            </w:r>
          </w:p>
        </w:tc>
      </w:tr>
      <w:tr>
        <w:tc>
          <w:tcPr>
            <w:tcW w:w="50.0" w:type="pct"/>
          </w:tcPr>
          <w:p>
            <w:pPr>
              <w:spacing w:before="0" w:after="0"/>
              <w:jc w:val="left"/>
              <w:rPr>
                <w:sz w:val="20"/>
              </w:rPr>
            </w:pPr>
            <w:r>
              <w:rPr>
                <w:sz w:val="20"/>
                <w:szCs w:val="20"/>
              </w:rPr>
              <w:t xml:space="preserve"/>
            </w:r>
          </w:p>
        </w:tc>
        <w:tc>
          <w:tcPr>
            <w:tcW w:w="50.0" w:type="pct"/>
          </w:tcPr>
          <w:p>
            <w:pPr>
              <w:spacing w:before="0" w:after="0"/>
              <w:jc w:val="left"/>
              <w:rPr>
                <w:sz w:val="20"/>
              </w:rPr>
            </w:pPr>
            <w:r>
              <w:rPr>
                <w:sz w:val="20"/>
                <w:szCs w:val="20"/>
              </w:rPr>
              <w:t xml:space="preserve">р/с 40817810952601815908</w:t>
            </w:r>
          </w:p>
        </w:tc>
      </w:tr>
      <w:tr>
        <w:tc>
          <w:tcPr>
            <w:tcW w:w="50.0" w:type="pct"/>
          </w:tcPr>
          <w:p>
            <w:pPr>
              <w:spacing w:before="0" w:after="0"/>
              <w:jc w:val="left"/>
              <w:rPr>
                <w:sz w:val="20"/>
              </w:rPr>
            </w:pPr>
            <w:r>
              <w:rPr>
                <w:sz w:val="20"/>
                <w:szCs w:val="20"/>
              </w:rPr>
              <w:t xml:space="preserve"/>
            </w:r>
          </w:p>
        </w:tc>
        <w:tc>
          <w:tcPr>
            <w:tcW w:w="50.0" w:type="pct"/>
          </w:tcPr>
          <w:p>
            <w:pPr>
              <w:spacing w:before="0" w:after="0"/>
              <w:jc w:val="left"/>
              <w:rPr>
                <w:sz w:val="20"/>
              </w:rPr>
            </w:pPr>
            <w:r>
              <w:rPr>
                <w:sz w:val="20"/>
                <w:szCs w:val="20"/>
              </w:rPr>
              <w:t xml:space="preserve">к/с 30101810400000000999</w:t>
            </w:r>
          </w:p>
        </w:tc>
      </w:tr>
    </w:tbl>
    <w:p>
      <w:pPr>
        <w:spacing w:after="120"/>
      </w:pPr>
    </w:p>
    <w:p>
      <w:pPr>
        <w:spacing w:before="0" w:after="120"/>
        <w:jc w:val="both"/>
      </w:pPr>
      <w:r>
        <w:t xml:space="preserve">ЗАКАЗЧИК</w:t>
      </w:r>
    </w:p>
    <w:p>
      <w:pPr>
        <w:spacing w:before="0" w:after="120"/>
        <w:jc w:val="both"/>
      </w:pPr>
      <w:r>
        <w:t xml:space="preserve">Генерального директора</w:t>
      </w:r>
    </w:p>
    <w:p>
      <w:pPr>
        <w:spacing w:before="0" w:after="120"/>
        <w:jc w:val="both"/>
      </w:pPr>
      <w:r>
        <w:t xml:space="preserve">Громов</w:t>
      </w:r>
    </w:p>
    <w:p>
      <w:pPr>
        <w:spacing w:before="0" w:after="120"/>
        <w:jc w:val="both"/>
      </w:pPr>
      <w:r>
        <w:t xml:space="preserve">С. И. Громов</w:t>
      </w:r>
    </w:p>
    <w:p>
      <w:pPr>
        <w:spacing w:before="0" w:after="120"/>
        <w:jc w:val="both"/>
      </w:pPr>
      <w:r>
        <w:t xml:space="preserve">М.П.</w:t>
      </w:r>
    </w:p>
    <w:p>
      <w:pPr>
        <w:spacing w:before="0" w:after="120"/>
        <w:jc w:val="both"/>
      </w:pPr>
      <w:r>
        <w:t xml:space="preserve">ИСПОЛНИТЕЛЬ</w:t>
      </w:r>
    </w:p>
    <w:p>
      <w:pPr>
        <w:spacing w:before="0" w:after="120"/>
        <w:jc w:val="both"/>
      </w:pPr>
      <w:r>
        <w:t xml:space="preserve">Самозанятый</w:t>
      </w:r>
    </w:p>
    <w:p>
      <w:pPr>
        <w:spacing w:before="0" w:after="120"/>
        <w:jc w:val="both"/>
      </w:pPr>
      <w:r>
        <w:t xml:space="preserve">Кузнецова</w:t>
      </w:r>
    </w:p>
    <w:p>
      <w:pPr>
        <w:spacing w:before="0" w:after="120"/>
        <w:jc w:val="both"/>
      </w:pPr>
      <w:r>
        <w:t xml:space="preserve">А. В. Кузнецова</w:t>
      </w:r>
    </w:p>
    <w:sectPr>
      <w:pgSz w:w="11906" w:h="16838"/>
      <w:pgMar w:top="1134" w:right="850" w:bottom="1134" w:left="1701"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szCs w:val="24"/>
        <w:lang w:val="ru-RU"/>
      </w:rPr>
    </w:rPrDefault>
    <w:pPrDefault>
      <w:pPr>
        <w:spacing w:after="120" w:line="276" w:lineRule="auto"/>
        <w:jc w:val="both"/>
      </w:pPr>
    </w:pPrDefault>
  </w:docDefaults>
  <w:style w:type="paragraph" w:default="1" w:styleId="Normal">
    <w:name w:val="Normal"/>
    <w:qFormat/>
  </w:style>
  <w:style w:type="paragraph" w:styleId="Heading1">
    <w:name w:val="heading 1"/>
    <w:basedOn w:val="Normal"/>
    <w:pPr>
      <w:keepNext/>
      <w:spacing w:before="280" w:after="140"/>
      <w:jc w:val="left"/>
      <w:outlineLvl w:val="0"/>
    </w:pPr>
    <w:rPr>
      <w:b/>
      <w:sz w:val="2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app.xml><?xml version="1.0" encoding="utf-8"?>
<Properties xmlns="http://schemas.openxmlformats.org/officeDocument/2006/extended-properties">
  <Company>pawetta.com</Company>
  <Application>pawetta.com</Application>
</Properties>
</file>

<file path=docProps/core.xml><?xml version="1.0" encoding="utf-8"?>
<cp:coreProperties xmlns:cp="http://schemas.openxmlformats.org/package/2006/metadata/core-properties" xmlns:dc="http://purl.org/dc/elements/1.1/" xmlns:dcterms="http://purl.org/dc/terms/" xmlns:xsi="http://www.w3.org/2001/XMLSchema-instance">
  <dc:title>Договор с самозанятым: образец и бланк 2026</dc:title>
  <dc:creator>pawetta.com</dc:creator>
  <cp:lastModifiedBy>pawetta.com</cp:lastModifiedBy>
  <dcterms:created xsi:type="dcterms:W3CDTF">2026-09-04T09:00:00Z</dcterms:created>
  <dcterms:modified xsi:type="dcterms:W3CDTF">2026-09-04T09:00:00Z</dcterms:modified>
</cp:coreProperties>
</file>