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spacing w:before="0" w:after="120"/>
        <w:jc w:val="center"/>
        <w:rPr>
          <w:b/>
        </w:rPr>
      </w:pPr>
      <w:r>
        <w:rPr>
          <w:b/>
        </w:rPr>
        <w:t xml:space="preserve">ДОГОВОР ПОСТАВКИ № 14</w:t>
      </w:r>
    </w:p>
    <w:p>
      <w:pPr>
        <w:spacing w:before="0" w:after="120"/>
        <w:jc w:val="center"/>
      </w:pPr>
      <w:r>
        <w:t xml:space="preserve">строительные материалы</w:t>
      </w:r>
    </w:p>
    <w:p>
      <w:pPr>
        <w:spacing w:before="0" w:after="120"/>
        <w:jc w:val="both"/>
      </w:pPr>
      <w:r>
        <w:t xml:space="preserve">г. Екатеринбург3 сентября 2026 г.</w:t>
      </w:r>
    </w:p>
    <w:p>
      <w:pPr>
        <w:spacing w:before="0" w:after="120"/>
        <w:jc w:val="both"/>
      </w:pPr>
      <w:r>
        <w:t xml:space="preserve">ООО «УралСтройБаза», в лице генерального директора Волкова Андрея Николаевича, действующего на основании устава, далее — «Поставщик», с одной стороны, и ООО «Ремстрой», в лице директора Асташева Дмитрия Викторовича, действующего на основании устава, далее — «Покупатель», с другой стороны, совместно именуемые «Стороны», заключили настоящий договор (далее — Договор) о нижеследующем:</w:t>
      </w:r>
    </w:p>
    <w:p>
      <w:pPr>
        <w:spacing w:before="0" w:after="120"/>
        <w:jc w:val="both"/>
      </w:pPr>
      <w:r>
        <w:t xml:space="preserve">1. Предмет договора</w:t>
      </w:r>
    </w:p>
    <w:p>
      <w:pPr>
        <w:spacing w:before="0" w:after="120"/>
        <w:jc w:val="both"/>
      </w:pPr>
      <w:r>
        <w:t xml:space="preserve">1.1.Поставщик обязуется передавать в обусловленные Договором сроки в собственность Покупателя строительные материалы (далее — Товар) для использования в предпринимательской деятельности, а Покупатель обязуется принимать Товар и оплачивать его в порядке и на условиях Договора (статья 506 Гражданского кодекса Российской Федерации).</w:t>
      </w:r>
    </w:p>
    <w:p>
      <w:pPr>
        <w:spacing w:before="0" w:after="120"/>
        <w:jc w:val="both"/>
      </w:pPr>
      <w:r>
        <w:t xml:space="preserve">1.2.Наименование, ассортимент, количество, цена и общая стоимость Товара определяются Спецификацией № 1 (Приложение № 1), являющейся неотъемлемой частью Договора.</w:t>
      </w:r>
    </w:p>
    <w:p>
      <w:pPr>
        <w:spacing w:before="0" w:after="120"/>
        <w:jc w:val="both"/>
      </w:pPr>
      <w:r>
        <w:t xml:space="preserve">1.3.Поставщик гарантирует, что Товар принадлежит ему на праве собственности, свободен от прав третьих лиц, не заложен и не находится под арестом.</w:t>
      </w:r>
    </w:p>
    <w:p>
      <w:pPr>
        <w:spacing w:before="0" w:after="120"/>
        <w:jc w:val="both"/>
      </w:pPr>
      <w:r>
        <w:t xml:space="preserve">2. Количество, ассортимент и качество Товара</w:t>
      </w:r>
    </w:p>
    <w:p>
      <w:pPr>
        <w:spacing w:before="0" w:after="120"/>
        <w:jc w:val="both"/>
      </w:pPr>
      <w:r>
        <w:t xml:space="preserve">2.1.Количество и ассортимент Товара указаны в Спецификации № 1.</w:t>
      </w:r>
    </w:p>
    <w:p>
      <w:pPr>
        <w:spacing w:before="0" w:after="120"/>
        <w:jc w:val="both"/>
      </w:pPr>
      <w:r>
        <w:t xml:space="preserve">2.2.Качество Товара должно соответствовать ГОСТ 31108-2020 и ГОСТ 530-2012, а также требованиям технических регламентов, стандартов и технической документации изготовителя, действующим в отношении данного вида товара, и подтверждаться документами изготовителя (сертификатами, декларациями о соответствии, паспортами), передаваемыми вместе с Товаром.</w:t>
      </w:r>
    </w:p>
    <w:p>
      <w:pPr>
        <w:spacing w:before="0" w:after="120"/>
        <w:jc w:val="both"/>
      </w:pPr>
      <w:r>
        <w:t xml:space="preserve">2.3.Товар передаётся в таре и упаковке, обеспечивающих его сохранность при обычных условиях транспортировки и хранения; стоимость тары и упаковки включена в цену Товара.</w:t>
      </w:r>
    </w:p>
    <w:p>
      <w:pPr>
        <w:spacing w:before="0" w:after="120"/>
        <w:jc w:val="both"/>
      </w:pPr>
      <w:r>
        <w:t xml:space="preserve">3. Сроки и порядок поставки</w:t>
      </w:r>
    </w:p>
    <w:p>
      <w:pPr>
        <w:spacing w:before="0" w:after="120"/>
        <w:jc w:val="both"/>
      </w:pPr>
      <w:r>
        <w:t xml:space="preserve">3.1.Поставщик передаёт Товар единовременно в срок до 17 сентября 2026 года. Досрочная поставка допускается с согласия Покупателя.</w:t>
      </w:r>
    </w:p>
    <w:p>
      <w:pPr>
        <w:spacing w:before="0" w:after="120"/>
        <w:jc w:val="both"/>
      </w:pPr>
      <w:r>
        <w:t xml:space="preserve">3.2.Поставка осуществляется путём доставки Товара транспортом Поставщика до склада Покупателя по адресу: 620014, г. Екатеринбург, ул. Шейнкмана, д. 9, склад 2 (статья 510 Гражданского кодекса Российской Федерации). Расходы по доставке несёт Поставщик; разгрузку Товара обеспечивает Покупатель.</w:t>
      </w:r>
    </w:p>
    <w:p>
      <w:pPr>
        <w:spacing w:before="0" w:after="120"/>
        <w:jc w:val="both"/>
      </w:pPr>
      <w:r>
        <w:t xml:space="preserve">3.3.Датой поставки считается дата подписания Покупателем (получателем) товаросопроводительного документа.</w:t>
      </w:r>
    </w:p>
    <w:p>
      <w:pPr>
        <w:spacing w:before="0" w:after="120"/>
        <w:jc w:val="both"/>
      </w:pPr>
      <w:r>
        <w:t xml:space="preserve">3.4.Передача Товара оформляется универсальным передаточным документом (УПД), объединяющим товарную накладную и счёт-фактуру (статья 9 Федерального закона № 402-ФЗ «О бухгалтерском учёте», пункт 3 статьи 168 Налогового кодекса Российской Федерации); УПД выставляется не позднее 5 календарных дней с даты отгрузки.</w:t>
      </w:r>
    </w:p>
    <w:p>
      <w:pPr>
        <w:spacing w:before="0" w:after="120"/>
        <w:jc w:val="both"/>
      </w:pPr>
      <w:r>
        <w:t xml:space="preserve">3.5.Право собственности на Товар и риск его случайной гибели или случайного повреждения переходят к Покупателю с момента передачи Товара Покупателю (получателю) по товаросопроводительному документу (статьи 223, 458 и 459 Гражданского кодекса Российской Федерации).</w:t>
      </w:r>
    </w:p>
    <w:p>
      <w:pPr>
        <w:spacing w:before="0" w:after="120"/>
        <w:jc w:val="both"/>
      </w:pPr>
      <w:r>
        <w:t xml:space="preserve">4. Приёмка Товара</w:t>
      </w:r>
    </w:p>
    <w:p>
      <w:pPr>
        <w:spacing w:before="0" w:after="120"/>
        <w:jc w:val="both"/>
      </w:pPr>
      <w:r>
        <w:t xml:space="preserve">4.1.Покупатель (получатель) принимает Товар по количеству и ассортименту при его передаче по товаросопроводительным документам, а по качеству — в течение 5 рабочих дней с даты поставки (статья 513 Гражданского кодекса Российской Федерации).</w:t>
      </w:r>
    </w:p>
    <w:p>
      <w:pPr>
        <w:spacing w:before="0" w:after="120"/>
        <w:jc w:val="both"/>
      </w:pPr>
      <w:r>
        <w:t xml:space="preserve">4.2.О выявленном несоответствии Товара по количеству, ассортименту или качеству Покупатель незамедлительно письменно уведомляет Поставщика с приложением акта. Акт составляется с участием представителя Поставщика, а при его неявке в течение 3 рабочих дней с даты получения уведомления — комиссией Покупателя в одностороннем порядке; такой акт признаётся Сторонами достаточным доказательством выявленных недостатков.</w:t>
      </w:r>
    </w:p>
    <w:p>
      <w:pPr>
        <w:spacing w:before="0" w:after="120"/>
        <w:jc w:val="both"/>
      </w:pPr>
      <w:r>
        <w:t xml:space="preserve">4.3.При поставке Товара ненадлежащего качества Покупатель вправе предъявить Поставщику требования, предусмотренные статьёй 475 Гражданского кодекса Российской Федерации, за исключением случая, когда Поставщик, получивший уведомление о недостатках, без промедления заменит поставленный Товар товаром надлежащего качества (статья 518 Гражданского кодекса Российской Федерации).</w:t>
      </w:r>
    </w:p>
    <w:p>
      <w:pPr>
        <w:spacing w:before="0" w:after="120"/>
        <w:jc w:val="both"/>
      </w:pPr>
      <w:r>
        <w:t xml:space="preserve">4.4.Недостающее количество Товара Поставщик допоставляет, а Товар ненадлежащего качества заменяет в течение 10 рабочих дней с даты получения уведомления Покупателя, если Стороны не согласовали иной срок. Расходы по возврату Товара ненадлежащего качества несёт Поставщик.</w:t>
      </w:r>
    </w:p>
    <w:p>
      <w:pPr>
        <w:spacing w:before="0" w:after="120"/>
        <w:jc w:val="both"/>
      </w:pPr>
      <w:r>
        <w:t xml:space="preserve">5. Цена Товара и порядок расчётов</w:t>
      </w:r>
    </w:p>
    <w:p>
      <w:pPr>
        <w:spacing w:before="0" w:after="120"/>
        <w:jc w:val="both"/>
      </w:pPr>
      <w:r>
        <w:t xml:space="preserve">5.1.Цены единиц Товара указаны в Спецификации № 1 без учёта НДС. Стоимость Товара без НДС составляет 299 500,00 ₽; НДС по ставке 22 % — 65 890,00 ₽; общая стоимость Товара с НДС составляет 365 390,00 ₽ (триста шестьдесят пять тысяч триста девяносто рублей 00 копеек).</w:t>
      </w:r>
    </w:p>
    <w:p>
      <w:pPr>
        <w:spacing w:before="0" w:after="120"/>
        <w:jc w:val="both"/>
      </w:pPr>
      <w:r>
        <w:t xml:space="preserve">5.2.Цена Товара включает стоимость тары, упаковки и маркировки, а также доставки до Покупателя и остаётся неизменной в течение срока действия Договора.</w:t>
      </w:r>
    </w:p>
    <w:p>
      <w:pPr>
        <w:spacing w:before="0" w:after="120"/>
        <w:jc w:val="both"/>
      </w:pPr>
      <w:r>
        <w:t xml:space="preserve">5.3.Покупатель оплачивает 100 % стоимости Товара на условиях предварительной оплаты в течение 5 календарных дней с даты выставления счёта Поставщиком. Поставщик передаёт Товар после поступления оплаты в полном объёме.</w:t>
      </w:r>
    </w:p>
    <w:p>
      <w:pPr>
        <w:spacing w:before="0" w:after="120"/>
        <w:jc w:val="both"/>
      </w:pPr>
      <w:r>
        <w:t xml:space="preserve">5.4.Расчёты производятся платёжными поручениями путём перечисления денежных средств на расчётный счёт Поставщика, указанный в Договоре (статья 516 Гражданского кодекса Российской Федерации). Обязательство Покупателя по оплате считается исполненным с даты зачисления денежных средств на корреспондентский счёт банка Поставщика.</w:t>
      </w:r>
    </w:p>
    <w:p>
      <w:pPr>
        <w:spacing w:before="0" w:after="120"/>
        <w:jc w:val="both"/>
      </w:pPr>
      <w:r>
        <w:t xml:space="preserve">5.5.По требованию любой из Сторон Стороны проводят сверку взаиморасчётов; акт сверки подписывается в течение 5 рабочих дней с даты его получения.</w:t>
      </w:r>
    </w:p>
    <w:p>
      <w:pPr>
        <w:spacing w:before="0" w:after="120"/>
        <w:jc w:val="both"/>
      </w:pPr>
      <w:r>
        <w:t xml:space="preserve">6. Ответственность сторон</w:t>
      </w:r>
    </w:p>
    <w:p>
      <w:pPr>
        <w:spacing w:before="0" w:after="120"/>
        <w:jc w:val="both"/>
      </w:pPr>
      <w:r>
        <w:t xml:space="preserve">6.1.За нарушение срока поставки (недопоставку) Товара Покупатель вправе взыскать с Поставщика неустойку в размере 0,1 % от стоимости непоставленного в срок Товара за каждый день просрочки, но не более 10 % от этой стоимости. Неустойка взыскивается до фактического исполнения обязательства в пределах обязанности Поставщика восполнить недопоставленное количество Товара (статья 521 Гражданского кодекса Российской Федерации).</w:t>
      </w:r>
    </w:p>
    <w:p>
      <w:pPr>
        <w:spacing w:before="0" w:after="120"/>
        <w:jc w:val="both"/>
      </w:pPr>
      <w:r>
        <w:t xml:space="preserve">6.2.За нарушение срока оплаты Поставщик вправе взыскать с Покупателя неустойку в размере 0,1 % от неоплаченной в срок суммы за каждый день просрочки, но не более 10 % от неоплаченной суммы (статья 330 Гражданского кодекса Российской Федерации).</w:t>
      </w:r>
    </w:p>
    <w:p>
      <w:pPr>
        <w:spacing w:before="0" w:after="120"/>
        <w:jc w:val="both"/>
      </w:pPr>
      <w:r>
        <w:t xml:space="preserve">6.3.Уплата неустойки не освобождает Стороны от исполнения обязательств по Договору. Убытки взыскиваются в части, не покрытой неустойкой.</w:t>
      </w:r>
    </w:p>
    <w:p>
      <w:pPr>
        <w:spacing w:before="0" w:after="120"/>
        <w:jc w:val="both"/>
      </w:pPr>
      <w:r>
        <w:t xml:space="preserve">6.4.Если Договор расторгнут вследствие нарушения обязательства одной из Сторон и другая Сторона в разумный срок после расторжения совершила взамен сделку с иным контрагентом, она вправе требовать возмещения убытков в виде разницы между ценой Договора и ценой по совершённой взамен сделке (статья 524 Гражданского кодекса Российской Федерации).</w:t>
      </w:r>
    </w:p>
    <w:p>
      <w:pPr>
        <w:spacing w:before="0" w:after="120"/>
        <w:jc w:val="both"/>
      </w:pPr>
      <w:r>
        <w:t xml:space="preserve">7. Обстоятельства непреодолимой силы</w:t>
      </w:r>
    </w:p>
    <w:p>
      <w:pPr>
        <w:spacing w:before="0" w:after="120"/>
        <w:jc w:val="both"/>
      </w:pPr>
      <w:r>
        <w:t xml:space="preserve">7.1.Стороны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стихийных бедствий, военных действий, эпидемий, актов органов государственной власти и иных запретительных мер, возникших после заключения Договора и препятствующих его исполнению.</w:t>
      </w:r>
    </w:p>
    <w:p>
      <w:pPr>
        <w:spacing w:before="0" w:after="120"/>
        <w:jc w:val="both"/>
      </w:pPr>
      <w:r>
        <w:t xml:space="preserve">7.2.Сторона, для которой создалась невозможность исполнения, письменно уведомляет другую Сторону в течение 5 рабочих дней с даты наступления таких обстоятельств с приложением подтверждающих документов. Срок исполнения обязательств отодвигается соразмерно времени действия обстоятельств непреодолимой силы.</w:t>
      </w:r>
    </w:p>
    <w:p>
      <w:pPr>
        <w:spacing w:before="0" w:after="120"/>
        <w:jc w:val="both"/>
      </w:pPr>
      <w:r>
        <w:t xml:space="preserve">7.3.Если обстоятельства непреодолимой силы действуют более 2 месяцев, каждая из Сторон вправе отказаться от Договора, уведомив другую Сторону; при этом Стороны производят взаиморасчёты за фактически поставленный и оплаченный Товар.</w:t>
      </w:r>
    </w:p>
    <w:p>
      <w:pPr>
        <w:spacing w:before="0" w:after="120"/>
        <w:jc w:val="both"/>
      </w:pPr>
      <w:r>
        <w:t xml:space="preserve">8. Срок действия и расторжение Договора</w:t>
      </w:r>
    </w:p>
    <w:p>
      <w:pPr>
        <w:spacing w:before="0" w:after="120"/>
        <w:jc w:val="both"/>
      </w:pPr>
      <w:r>
        <w:t xml:space="preserve">8.1.Договор вступает в силу с даты его подписания Сторонами и действует до полного исполнения Сторонами своих обязательств.</w:t>
      </w:r>
    </w:p>
    <w:p>
      <w:pPr>
        <w:spacing w:before="0" w:after="120"/>
        <w:jc w:val="both"/>
      </w:pPr>
      <w:r>
        <w:t xml:space="preserve">8.2.Договор может быть изменён или расторгнут по соглашению Сторон, а также в одностороннем порядке в случаях, предусмотренных законом и Договором.</w:t>
      </w:r>
    </w:p>
    <w:p>
      <w:pPr>
        <w:spacing w:before="0" w:after="120"/>
        <w:jc w:val="both"/>
      </w:pPr>
      <w:r>
        <w:t xml:space="preserve">8.3.Односторонний отказ от исполнения Договора полностью или частично допускается при существенном нарушении Договора одной из Сторон (статья 523 Гражданского кодекса Российской Федерации). Нарушение Договора Поставщиком предполагается существенным при поставке Товара ненадлежащего качества с недостатками, которые не могут быть устранены в приемлемый для Покупателя срок, и при неоднократном нарушении сроков поставки; нарушение Договора Покупателем — при неоднократном нарушении сроков оплаты.</w:t>
      </w:r>
    </w:p>
    <w:p>
      <w:pPr>
        <w:spacing w:before="0" w:after="120"/>
        <w:jc w:val="both"/>
      </w:pPr>
      <w:r>
        <w:t xml:space="preserve">8.4.Договор считается расторгнутым или изменённым с момента получения одной Стороной уведомления другой Стороны об одностороннем отказе от исполнения Договора, если иной срок расторжения или изменения не предусмотрен в уведомлении.</w:t>
      </w:r>
    </w:p>
    <w:p>
      <w:pPr>
        <w:spacing w:before="0" w:after="120"/>
        <w:jc w:val="both"/>
      </w:pPr>
      <w:r>
        <w:t xml:space="preserve">9. Порядок разрешения споров</w:t>
      </w:r>
    </w:p>
    <w:p>
      <w:pPr>
        <w:spacing w:before="0" w:after="120"/>
        <w:jc w:val="both"/>
      </w:pPr>
      <w:r>
        <w:t xml:space="preserve">9.1.Споры и разногласия, возникающие из Договора, Стороны разрешают путём переговоров. До обращения в суд Сторона направляет другой Стороне письменную претензию; срок ответа на претензию — 10 календарных дней с даты её получения.</w:t>
      </w:r>
    </w:p>
    <w:p>
      <w:pPr>
        <w:spacing w:before="0" w:after="120"/>
        <w:jc w:val="both"/>
      </w:pPr>
      <w:r>
        <w:t xml:space="preserve">9.2.Споры, не урегулированные в претензионном порядке, передаются на рассмотрение в арбитражный суд по месту нахождения ответчика.</w:t>
      </w:r>
    </w:p>
    <w:p>
      <w:pPr>
        <w:spacing w:before="0" w:after="120"/>
        <w:jc w:val="both"/>
      </w:pPr>
      <w:r>
        <w:t xml:space="preserve">10. Заключительные положения</w:t>
      </w:r>
    </w:p>
    <w:p>
      <w:pPr>
        <w:spacing w:before="0" w:after="120"/>
        <w:jc w:val="both"/>
      </w:pPr>
      <w:r>
        <w:t xml:space="preserve">10.1.Все изменения и дополнения к Договору действительны, если совершены в письменной форме и подписаны уполномоченными представителями Сторон.</w:t>
      </w:r>
    </w:p>
    <w:p>
      <w:pPr>
        <w:spacing w:before="0" w:after="120"/>
        <w:jc w:val="both"/>
      </w:pPr>
      <w:r>
        <w:t xml:space="preserve">10.2.Заявки, уведомления и претензии направляются по адресам, указанным в реквизитах Сторон, заказным письмом, курьером либо по электронной почте с последующим направлением оригинала.</w:t>
      </w:r>
    </w:p>
    <w:p>
      <w:pPr>
        <w:spacing w:before="0" w:after="120"/>
        <w:jc w:val="both"/>
      </w:pPr>
      <w:r>
        <w:t xml:space="preserve">10.3.Стороны обязуются письменно уведомлять друг друга об изменении наименования, адреса, банковских и иных реквизитов в течение 5 рабочих дней.</w:t>
      </w:r>
    </w:p>
    <w:p>
      <w:pPr>
        <w:spacing w:before="0" w:after="120"/>
        <w:jc w:val="both"/>
      </w:pPr>
      <w:r>
        <w:t xml:space="preserve">10.4.Приложение № 1 — Спецификация № 1 — является неотъемлемой частью Договора.</w:t>
      </w:r>
    </w:p>
    <w:p>
      <w:pPr>
        <w:spacing w:before="0" w:after="120"/>
        <w:jc w:val="both"/>
      </w:pPr>
      <w:r>
        <w:t xml:space="preserve">10.5.Договор составлен в двух экземплярах, имеющих равную юридическую силу, по одному для каждой из Сторон. Во всём, что не урегулировано Договором, Стороны руководствуются законодательством Российской Федерации.</w:t>
      </w:r>
    </w:p>
    <w:p>
      <w:pPr>
        <w:spacing w:before="0" w:after="120"/>
        <w:jc w:val="both"/>
      </w:pPr>
      <w:r>
        <w:rPr>
          <w:b/>
        </w:rPr>
        <w:t xml:space="preserve">11. Реквизиты и подписи сторон</w:t>
      </w:r>
    </w:p>
    <w:tbl>
      <w:tblPr>
        <w:tblW w:w="5000" w:type="pct"/>
        <w:tblBorders>
          <w:top w:val="single" w:sz="4"/>
          <w:left w:val="single" w:sz="4"/>
          <w:bottom w:val="single" w:sz="4"/>
          <w:right w:val="single" w:sz="4"/>
          <w:insideH w:val="single" w:sz="4"/>
          <w:insideV w:val="single" w:sz="4"/>
        </w:tblBorders>
      </w:tblPr>
      <w:tr>
        <w:tc>
          <w:tcPr>
            <w:tcW w:w="50.0" w:type="pct"/>
          </w:tcPr>
          <w:p>
            <w:pPr>
              <w:spacing w:before="0" w:after="0"/>
              <w:jc w:val="left"/>
              <w:rPr>
                <w:sz w:val="20"/>
              </w:rPr>
            </w:pPr>
            <w:r>
              <w:rPr>
                <w:sz w:val="20"/>
                <w:szCs w:val="20"/>
              </w:rPr>
              <w:rPr>
                <w:b/>
              </w:rPr>
              <w:t xml:space="preserve">Поставщик</w:t>
            </w:r>
          </w:p>
        </w:tc>
        <w:tc>
          <w:tcPr>
            <w:tcW w:w="50.0" w:type="pct"/>
          </w:tcPr>
          <w:p>
            <w:pPr>
              <w:spacing w:before="0" w:after="0"/>
              <w:jc w:val="left"/>
              <w:rPr>
                <w:sz w:val="20"/>
              </w:rPr>
            </w:pPr>
            <w:r>
              <w:rPr>
                <w:sz w:val="20"/>
                <w:szCs w:val="20"/>
              </w:rPr>
              <w:rPr>
                <w:b/>
              </w:rPr>
              <w:t xml:space="preserve">Покупатель</w:t>
            </w:r>
          </w:p>
        </w:tc>
      </w:tr>
      <w:tr>
        <w:tc>
          <w:tcPr>
            <w:tcW w:w="50.0" w:type="pct"/>
          </w:tcPr>
          <w:p>
            <w:pPr>
              <w:spacing w:before="0" w:after="0"/>
              <w:jc w:val="left"/>
              <w:rPr>
                <w:sz w:val="20"/>
              </w:rPr>
            </w:pPr>
            <w:r>
              <w:rPr>
                <w:sz w:val="20"/>
                <w:szCs w:val="20"/>
              </w:rPr>
              <w:t xml:space="preserve">ООО «УралСтройБаза»</w:t>
            </w:r>
          </w:p>
        </w:tc>
        <w:tc>
          <w:tcPr>
            <w:tcW w:w="50.0" w:type="pct"/>
          </w:tcPr>
          <w:p>
            <w:pPr>
              <w:spacing w:before="0" w:after="0"/>
              <w:jc w:val="left"/>
              <w:rPr>
                <w:sz w:val="20"/>
              </w:rPr>
            </w:pPr>
            <w:r>
              <w:rPr>
                <w:sz w:val="20"/>
                <w:szCs w:val="20"/>
              </w:rPr>
              <w:t xml:space="preserve">ООО «Ремстрой»</w:t>
            </w:r>
          </w:p>
        </w:tc>
      </w:tr>
      <w:tr>
        <w:tc>
          <w:tcPr>
            <w:tcW w:w="50.0" w:type="pct"/>
          </w:tcPr>
          <w:p>
            <w:pPr>
              <w:spacing w:before="0" w:after="0"/>
              <w:jc w:val="left"/>
              <w:rPr>
                <w:sz w:val="20"/>
              </w:rPr>
            </w:pPr>
            <w:r>
              <w:rPr>
                <w:sz w:val="20"/>
                <w:szCs w:val="20"/>
              </w:rPr>
              <w:t xml:space="preserve">ИНН 6658176251, КПП 665801001</w:t>
            </w:r>
          </w:p>
        </w:tc>
        <w:tc>
          <w:tcPr>
            <w:tcW w:w="50.0" w:type="pct"/>
          </w:tcPr>
          <w:p>
            <w:pPr>
              <w:spacing w:before="0" w:after="0"/>
              <w:jc w:val="left"/>
              <w:rPr>
                <w:sz w:val="20"/>
              </w:rPr>
            </w:pPr>
            <w:r>
              <w:rPr>
                <w:sz w:val="20"/>
                <w:szCs w:val="20"/>
              </w:rPr>
              <w:t xml:space="preserve">ИНН 6670157209, КПП 667001001</w:t>
            </w:r>
          </w:p>
        </w:tc>
      </w:tr>
      <w:tr>
        <w:tc>
          <w:tcPr>
            <w:tcW w:w="50.0" w:type="pct"/>
          </w:tcPr>
          <w:p>
            <w:pPr>
              <w:spacing w:before="0" w:after="0"/>
              <w:jc w:val="left"/>
              <w:rPr>
                <w:sz w:val="20"/>
              </w:rPr>
            </w:pPr>
            <w:r>
              <w:rPr>
                <w:sz w:val="20"/>
                <w:szCs w:val="20"/>
              </w:rPr>
              <w:t xml:space="preserve">ОГРН 1206600395760</w:t>
            </w:r>
          </w:p>
        </w:tc>
        <w:tc>
          <w:tcPr>
            <w:tcW w:w="50.0" w:type="pct"/>
          </w:tcPr>
          <w:p>
            <w:pPr>
              <w:spacing w:before="0" w:after="0"/>
              <w:jc w:val="left"/>
              <w:rPr>
                <w:sz w:val="20"/>
              </w:rPr>
            </w:pPr>
            <w:r>
              <w:rPr>
                <w:sz w:val="20"/>
                <w:szCs w:val="20"/>
              </w:rPr>
              <w:t xml:space="preserve">ОГРН 1156600839405</w:t>
            </w:r>
          </w:p>
        </w:tc>
      </w:tr>
      <w:tr>
        <w:tc>
          <w:tcPr>
            <w:tcW w:w="50.0" w:type="pct"/>
          </w:tcPr>
          <w:p>
            <w:pPr>
              <w:spacing w:before="0" w:after="0"/>
              <w:jc w:val="left"/>
              <w:rPr>
                <w:sz w:val="20"/>
              </w:rPr>
            </w:pPr>
            <w:r>
              <w:rPr>
                <w:sz w:val="20"/>
                <w:szCs w:val="20"/>
              </w:rPr>
              <w:t xml:space="preserve">Адрес: 620085, г. Екатеринбург, ул. Титова, д. 19, офис 4</w:t>
            </w:r>
          </w:p>
        </w:tc>
        <w:tc>
          <w:tcPr>
            <w:tcW w:w="50.0" w:type="pct"/>
          </w:tcPr>
          <w:p>
            <w:pPr>
              <w:spacing w:before="0" w:after="0"/>
              <w:jc w:val="left"/>
              <w:rPr>
                <w:sz w:val="20"/>
              </w:rPr>
            </w:pPr>
            <w:r>
              <w:rPr>
                <w:sz w:val="20"/>
                <w:szCs w:val="20"/>
              </w:rPr>
              <w:t xml:space="preserve">Адрес: 620014, г. Екатеринбург, ул. Шейнкмана, д. 9, офис 12</w:t>
            </w:r>
          </w:p>
        </w:tc>
      </w:tr>
      <w:tr>
        <w:tc>
          <w:tcPr>
            <w:tcW w:w="50.0" w:type="pct"/>
          </w:tcPr>
          <w:p>
            <w:pPr>
              <w:spacing w:before="0" w:after="0"/>
              <w:jc w:val="left"/>
              <w:rPr>
                <w:sz w:val="20"/>
              </w:rPr>
            </w:pPr>
            <w:r>
              <w:rPr>
                <w:sz w:val="20"/>
                <w:szCs w:val="20"/>
              </w:rPr>
              <w:t xml:space="preserve">ПАО «Уральский коммерческий банк»</w:t>
            </w:r>
          </w:p>
        </w:tc>
        <w:tc>
          <w:tcPr>
            <w:tcW w:w="50.0" w:type="pct"/>
          </w:tcPr>
          <w:p>
            <w:pPr>
              <w:spacing w:before="0" w:after="0"/>
              <w:jc w:val="left"/>
              <w:rPr>
                <w:sz w:val="20"/>
              </w:rPr>
            </w:pPr>
            <w:r>
              <w:rPr>
                <w:sz w:val="20"/>
                <w:szCs w:val="20"/>
              </w:rPr>
              <w:t xml:space="preserve">АО «Банк Среднего Урала»</w:t>
            </w:r>
          </w:p>
        </w:tc>
      </w:tr>
      <w:tr>
        <w:tc>
          <w:tcPr>
            <w:tcW w:w="50.0" w:type="pct"/>
          </w:tcPr>
          <w:p>
            <w:pPr>
              <w:spacing w:before="0" w:after="0"/>
              <w:jc w:val="left"/>
              <w:rPr>
                <w:sz w:val="20"/>
              </w:rPr>
            </w:pPr>
            <w:r>
              <w:rPr>
                <w:sz w:val="20"/>
                <w:szCs w:val="20"/>
              </w:rPr>
              <w:t xml:space="preserve">БИК 046577674</w:t>
            </w:r>
          </w:p>
        </w:tc>
        <w:tc>
          <w:tcPr>
            <w:tcW w:w="50.0" w:type="pct"/>
          </w:tcPr>
          <w:p>
            <w:pPr>
              <w:spacing w:before="0" w:after="0"/>
              <w:jc w:val="left"/>
              <w:rPr>
                <w:sz w:val="20"/>
              </w:rPr>
            </w:pPr>
            <w:r>
              <w:rPr>
                <w:sz w:val="20"/>
                <w:szCs w:val="20"/>
              </w:rPr>
              <w:t xml:space="preserve">БИК 046577674</w:t>
            </w:r>
          </w:p>
        </w:tc>
      </w:tr>
      <w:tr>
        <w:tc>
          <w:tcPr>
            <w:tcW w:w="50.0" w:type="pct"/>
          </w:tcPr>
          <w:p>
            <w:pPr>
              <w:spacing w:before="0" w:after="0"/>
              <w:jc w:val="left"/>
              <w:rPr>
                <w:sz w:val="20"/>
              </w:rPr>
            </w:pPr>
            <w:r>
              <w:rPr>
                <w:sz w:val="20"/>
                <w:szCs w:val="20"/>
              </w:rPr>
              <w:t xml:space="preserve">р/с 40702810670096106044</w:t>
            </w:r>
          </w:p>
        </w:tc>
        <w:tc>
          <w:tcPr>
            <w:tcW w:w="50.0" w:type="pct"/>
          </w:tcPr>
          <w:p>
            <w:pPr>
              <w:spacing w:before="0" w:after="0"/>
              <w:jc w:val="left"/>
              <w:rPr>
                <w:sz w:val="20"/>
              </w:rPr>
            </w:pPr>
            <w:r>
              <w:rPr>
                <w:sz w:val="20"/>
                <w:szCs w:val="20"/>
              </w:rPr>
              <w:t xml:space="preserve">р/с 40702810757491186252</w:t>
            </w:r>
          </w:p>
        </w:tc>
      </w:tr>
      <w:tr>
        <w:tc>
          <w:tcPr>
            <w:tcW w:w="50.0" w:type="pct"/>
          </w:tcPr>
          <w:p>
            <w:pPr>
              <w:spacing w:before="0" w:after="0"/>
              <w:jc w:val="left"/>
              <w:rPr>
                <w:sz w:val="20"/>
              </w:rPr>
            </w:pPr>
            <w:r>
              <w:rPr>
                <w:sz w:val="20"/>
                <w:szCs w:val="20"/>
              </w:rPr>
              <w:t xml:space="preserve">к/с 30101810417732767792</w:t>
            </w:r>
          </w:p>
        </w:tc>
        <w:tc>
          <w:tcPr>
            <w:tcW w:w="50.0" w:type="pct"/>
          </w:tcPr>
          <w:p>
            <w:pPr>
              <w:spacing w:before="0" w:after="0"/>
              <w:jc w:val="left"/>
              <w:rPr>
                <w:sz w:val="20"/>
              </w:rPr>
            </w:pPr>
            <w:r>
              <w:rPr>
                <w:sz w:val="20"/>
                <w:szCs w:val="20"/>
              </w:rPr>
              <w:t xml:space="preserve">к/с 30101810417732767792</w:t>
            </w:r>
          </w:p>
        </w:tc>
      </w:tr>
    </w:tbl>
    <w:p>
      <w:pPr>
        <w:spacing w:after="120"/>
      </w:pPr>
    </w:p>
    <w:p>
      <w:pPr>
        <w:spacing w:before="0" w:after="120"/>
        <w:jc w:val="both"/>
      </w:pPr>
      <w:r>
        <w:t xml:space="preserve">ПОСТАВЩИК</w:t>
      </w:r>
    </w:p>
    <w:p>
      <w:pPr>
        <w:spacing w:before="0" w:after="120"/>
        <w:jc w:val="both"/>
      </w:pPr>
      <w:r>
        <w:t xml:space="preserve">Волков</w:t>
      </w:r>
    </w:p>
    <w:p>
      <w:pPr>
        <w:spacing w:before="0" w:after="120"/>
        <w:jc w:val="both"/>
      </w:pPr>
      <w:r>
        <w:t xml:space="preserve">А. Н. Волков</w:t>
      </w:r>
    </w:p>
    <w:p>
      <w:pPr>
        <w:spacing w:before="0" w:after="120"/>
        <w:jc w:val="both"/>
      </w:pPr>
      <w:r>
        <w:t xml:space="preserve">М.П.</w:t>
      </w:r>
    </w:p>
    <w:p>
      <w:pPr>
        <w:spacing w:before="0" w:after="120"/>
        <w:jc w:val="both"/>
      </w:pPr>
      <w:r>
        <w:t xml:space="preserve">ПОКУПАТЕЛЬ</w:t>
      </w:r>
    </w:p>
    <w:p>
      <w:pPr>
        <w:spacing w:before="0" w:after="120"/>
        <w:jc w:val="both"/>
      </w:pPr>
      <w:r>
        <w:t xml:space="preserve">Асташев</w:t>
      </w:r>
    </w:p>
    <w:p>
      <w:pPr>
        <w:spacing w:before="0" w:after="120"/>
        <w:jc w:val="both"/>
      </w:pPr>
      <w:r>
        <w:t xml:space="preserve">Д. В. Асташев</w:t>
      </w:r>
    </w:p>
    <w:p>
      <w:pPr>
        <w:spacing w:before="0" w:after="120"/>
        <w:jc w:val="both"/>
      </w:pPr>
      <w:r>
        <w:t xml:space="preserve">М.П.</w:t>
      </w:r>
    </w:p>
    <w:sectPr>
      <w:pgSz w:w="11906" w:h="16838"/>
      <w:pgMar w:top="1134" w:right="850" w:bottom="1134" w:left="1701" w:header="708" w:footer="708" w:gutter="0"/>
    </w:sectPr>
  </w:body>
</w:document>
</file>

<file path=word/styles.xml><?xml version="1.0" encoding="utf-8"?>
<w:styles xmlns:w="http://schemas.openxmlformats.org/wordprocessingml/2006/main">
  <w:docDefaults>
    <w:rPrDefault>
      <w:rPr>
        <w:rFonts w:ascii="Times New Roman" w:hAnsi="Times New Roman" w:cs="Times New Roman"/>
        <w:sz w:val="24"/>
        <w:szCs w:val="24"/>
        <w:lang w:val="ru-RU"/>
      </w:rPr>
    </w:rPrDefault>
    <w:pPrDefault>
      <w:pPr>
        <w:spacing w:after="120" w:line="276" w:lineRule="auto"/>
        <w:jc w:val="both"/>
      </w:pPr>
    </w:pPrDefault>
  </w:docDefaults>
  <w:style w:type="paragraph" w:default="1" w:styleId="Normal">
    <w:name w:val="Normal"/>
    <w:qFormat/>
  </w:style>
  <w:style w:type="paragraph" w:styleId="Heading1">
    <w:name w:val="heading 1"/>
    <w:basedOn w:val="Normal"/>
    <w:pPr>
      <w:keepNext/>
      <w:spacing w:before="280" w:after="140"/>
      <w:jc w:val="left"/>
      <w:outlineLvl w:val="0"/>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Company>pawetta.com</Company>
  <Application>pawetta.com</Application>
</Properties>
</file>

<file path=docProps/core.xml><?xml version="1.0" encoding="utf-8"?>
<cp:coreProperties xmlns:cp="http://schemas.openxmlformats.org/package/2006/metadata/core-properties" xmlns:dc="http://purl.org/dc/elements/1.1/" xmlns:dcterms="http://purl.org/dc/terms/" xmlns:xsi="http://www.w3.org/2001/XMLSchema-instance">
  <dc:title>Договор поставки: образец и бланк 2026</dc:title>
  <dc:creator>pawetta.com</dc:creator>
  <cp:lastModifiedBy>pawetta.com</cp:lastModifiedBy>
  <dcterms:created xsi:type="dcterms:W3CDTF">2026-09-04T09:00:00Z</dcterms:created>
  <dcterms:modified xsi:type="dcterms:W3CDTF">2026-09-04T09:00:00Z</dcterms:modified>
</cp:coreProperties>
</file>